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CC" w:rsidRDefault="003B06CC" w:rsidP="003B06CC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Ogólnopolski Program Promocyjny „Doceń polskie”</w:t>
      </w:r>
      <w:r w:rsidRPr="007B71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0590" cy="694690"/>
            <wp:effectExtent l="0" t="0" r="381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CC" w:rsidRDefault="003B06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6CC" w:rsidRDefault="003B06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C2" w:rsidRDefault="00E71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45E45">
        <w:rPr>
          <w:rFonts w:ascii="Times New Roman" w:hAnsi="Times New Roman" w:cs="Times New Roman"/>
          <w:b/>
          <w:sz w:val="24"/>
          <w:szCs w:val="24"/>
        </w:rPr>
        <w:t xml:space="preserve">d siedmiu lat organizatorzy Ogólnopolskiego Programu Promocyjnego </w:t>
      </w:r>
      <w:r>
        <w:rPr>
          <w:rFonts w:ascii="Times New Roman" w:hAnsi="Times New Roman" w:cs="Times New Roman"/>
          <w:b/>
          <w:sz w:val="24"/>
          <w:szCs w:val="24"/>
        </w:rPr>
        <w:t>„Doceń polskie” namawiają do sięgania po żywn</w:t>
      </w:r>
      <w:r w:rsidR="000B5C90">
        <w:rPr>
          <w:rFonts w:ascii="Times New Roman" w:hAnsi="Times New Roman" w:cs="Times New Roman"/>
          <w:b/>
          <w:sz w:val="24"/>
          <w:szCs w:val="24"/>
        </w:rPr>
        <w:t>ość</w:t>
      </w:r>
      <w:r w:rsidR="002C344D">
        <w:rPr>
          <w:rFonts w:ascii="Times New Roman" w:hAnsi="Times New Roman" w:cs="Times New Roman"/>
          <w:b/>
          <w:sz w:val="24"/>
          <w:szCs w:val="24"/>
        </w:rPr>
        <w:t xml:space="preserve"> krajowych producentów.</w:t>
      </w:r>
      <w:r w:rsidR="000B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45">
        <w:rPr>
          <w:rFonts w:ascii="Times New Roman" w:hAnsi="Times New Roman" w:cs="Times New Roman"/>
          <w:b/>
          <w:sz w:val="24"/>
          <w:szCs w:val="24"/>
        </w:rPr>
        <w:t>Wartościową rekomendacją dla konsumentów szukających rodzimych artykułów spożywczych wysokiej jakości są certyfikaty programu.  Każdy kolejny audyt, podczas którego wyróżniające się wyroby otrzymują znaki jakości, dowodzi jak ciekawa i zróżnicowana jest oferta krajowych producentów. Podobnie było 25 kwietnia br., kiedy to w Sosnowcu odbyły się XXVIII obrady Loży Ekspertów programu „Doceń polskie”.</w:t>
      </w:r>
    </w:p>
    <w:p w:rsidR="002761C2" w:rsidRDefault="00245E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Kolejne produkty spożywcze zostały ocenione przez ekspertów programu „Doceń polskie”</w:t>
      </w:r>
    </w:p>
    <w:bookmarkEnd w:id="0"/>
    <w:p w:rsidR="002761C2" w:rsidRDefault="00245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Dawniej, o wyjątkowo apetycznie wyglądających mięsach i wędlinach mówiło się, że mają „oko”. Dzisiaj pojęcie to nie jest powszechnie używane, ale nadal najważniejsze jest, by za smakowitą powierzchownością stała wysoka jakość będąca efektem doskonałych surowców i odpowiednich metod produkcji. Podczas certyfikacji mieliśmy do czynienia z takimi właśnie wyrobami, które nie tylko zachęcają wyglądem, ale przede wszystkim przekonują smakiem. Świadomość konsumentów rośnie, a w raz z nią oczekiwania wobec producentów </w:t>
      </w:r>
      <w:r>
        <w:rPr>
          <w:rFonts w:ascii="Times New Roman" w:hAnsi="Times New Roman" w:cs="Times New Roman"/>
          <w:sz w:val="24"/>
          <w:szCs w:val="24"/>
        </w:rPr>
        <w:t xml:space="preserve">- mówi </w:t>
      </w:r>
      <w:r>
        <w:rPr>
          <w:rFonts w:ascii="Times New Roman" w:hAnsi="Times New Roman" w:cs="Times New Roman"/>
          <w:b/>
          <w:sz w:val="24"/>
          <w:szCs w:val="24"/>
        </w:rPr>
        <w:t>Mirek Drewniak</w:t>
      </w:r>
      <w:r>
        <w:rPr>
          <w:rFonts w:ascii="Times New Roman" w:hAnsi="Times New Roman" w:cs="Times New Roman"/>
          <w:sz w:val="24"/>
          <w:szCs w:val="24"/>
        </w:rPr>
        <w:t xml:space="preserve">, współzałożyciel Klubu Szefów Kuchni, przewodniczący Loży Ekspertów programu „Doceń polskie”.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Poza smakiem i wyglądem, członkowie gremium decydującego o przyznaniu znaków „Doceń polskie” oceniają także stosunek jakości konkretnego wyrobu do jego ceny. Za każdą z tych trzech cech można otrzymać od 1 do 10 punktów. - </w:t>
      </w:r>
      <w:r>
        <w:rPr>
          <w:rFonts w:ascii="Times New Roman" w:hAnsi="Times New Roman" w:cs="Times New Roman"/>
          <w:i/>
          <w:sz w:val="24"/>
          <w:szCs w:val="24"/>
        </w:rPr>
        <w:t>Pierwsza atestacja odbyła się w kwietniu 2011 roku. Zasady przyznawania certyfikatów się nie zmieniły: do zdobycia godła jakości potrzeba przynajmniej 7,5 pkt. Żywn</w:t>
      </w:r>
      <w:r w:rsidRPr="00245E45">
        <w:rPr>
          <w:rFonts w:ascii="Times New Roman" w:hAnsi="Times New Roman" w:cs="Times New Roman"/>
          <w:i/>
          <w:sz w:val="24"/>
          <w:szCs w:val="24"/>
        </w:rPr>
        <w:t>ość, która otrzyma maksymalne noty jest nagradzana także tytułem TOP PRODUKT</w:t>
      </w:r>
      <w:r w:rsidRPr="00245E45">
        <w:rPr>
          <w:rFonts w:ascii="Times New Roman" w:hAnsi="Times New Roman" w:cs="Times New Roman"/>
          <w:sz w:val="24"/>
          <w:szCs w:val="24"/>
        </w:rPr>
        <w:t xml:space="preserve"> - przypomina </w:t>
      </w:r>
      <w:r w:rsidRPr="00245E45">
        <w:rPr>
          <w:rFonts w:ascii="Times New Roman" w:hAnsi="Times New Roman" w:cs="Times New Roman"/>
          <w:b/>
          <w:sz w:val="24"/>
          <w:szCs w:val="24"/>
        </w:rPr>
        <w:t>Katarzyna Salomon</w:t>
      </w:r>
      <w:r w:rsidRPr="00245E45">
        <w:rPr>
          <w:rFonts w:ascii="Times New Roman" w:hAnsi="Times New Roman" w:cs="Times New Roman"/>
          <w:sz w:val="24"/>
          <w:szCs w:val="24"/>
        </w:rPr>
        <w:t xml:space="preserve"> zasiadająca w Loży </w:t>
      </w:r>
      <w:r w:rsidRPr="00245E45">
        <w:rPr>
          <w:rFonts w:ascii="Times New Roman" w:hAnsi="Times New Roman" w:cs="Times New Roman"/>
          <w:sz w:val="24"/>
          <w:szCs w:val="24"/>
        </w:rPr>
        <w:lastRenderedPageBreak/>
        <w:t>Ekspertów. Jak dodaje, wszystkie artykuły</w:t>
      </w:r>
      <w:r>
        <w:rPr>
          <w:rFonts w:ascii="Times New Roman" w:hAnsi="Times New Roman" w:cs="Times New Roman"/>
          <w:sz w:val="24"/>
          <w:szCs w:val="24"/>
        </w:rPr>
        <w:t xml:space="preserve"> spożywcze są sprawdzane indywidualnie przez każdego członka jury. Istotne jest także, że począwszy od pierwszej atestacji, honorowy patronat nad audytami sprawuje Minister Rolnictwa i Rozwoju Wsi. </w:t>
      </w:r>
    </w:p>
    <w:p w:rsidR="002761C2" w:rsidRDefault="00245E4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Celina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Nierodkiewicz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również oceniała żywność zgłoszoną do certyfikacji akcentuje, że konsumenci są gotowi zapłacić więcej za wartościowy produkt. - </w:t>
      </w:r>
      <w:r>
        <w:rPr>
          <w:rFonts w:ascii="Times New Roman" w:hAnsi="Times New Roman" w:cs="Times New Roman"/>
          <w:i/>
          <w:sz w:val="24"/>
          <w:szCs w:val="24"/>
        </w:rPr>
        <w:t>W mojej opinii, czasy, w których ilość miała decydujące znaczenie już minęły. Obecnie to jakość jest dominującym wyznacznikiem. Taka postawa konsumentów cieszy tym bardziej, że naprawdę mają oni z czego wybierać. Produkty zgłoszone do audytu w znakomitej większości prezentowały bardzo dobry poziom. Ryby, sery, dania gotowe, przetwory, cydry – to tylko niektóre z grup produktów, z których możemy być dumni</w:t>
      </w:r>
      <w:r>
        <w:rPr>
          <w:rFonts w:ascii="Times New Roman" w:hAnsi="Times New Roman" w:cs="Times New Roman"/>
          <w:sz w:val="24"/>
          <w:szCs w:val="24"/>
        </w:rPr>
        <w:t xml:space="preserve"> - wylicza C.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Nierodkiewicz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1C2" w:rsidRDefault="00245E4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Godła nadawane są na 2 lata, </w:t>
      </w:r>
      <w:r w:rsidRPr="00245E45">
        <w:rPr>
          <w:rFonts w:ascii="Times New Roman" w:hAnsi="Times New Roman" w:cs="Times New Roman"/>
          <w:sz w:val="24"/>
          <w:szCs w:val="24"/>
        </w:rPr>
        <w:t>lecz nagrodzeni producenci mogą ubiegać się o ponowne zdobycie znaku jakości. Warunkiem jest powtórny udział</w:t>
      </w:r>
      <w:r>
        <w:rPr>
          <w:rFonts w:ascii="Times New Roman" w:hAnsi="Times New Roman" w:cs="Times New Roman"/>
          <w:sz w:val="24"/>
          <w:szCs w:val="24"/>
        </w:rPr>
        <w:t xml:space="preserve"> wyróżnionego produktu w certyfikacji i otrzymanie wysokich (określonych regulaminem) not.</w:t>
      </w:r>
    </w:p>
    <w:p w:rsidR="002761C2" w:rsidRDefault="00245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atestacji oceniono niemal 140 różnorodnych artykułów spożywczych z oferty 50 producentów z całego kraju. Blisko połowa wytwórców, która przystąpiła do XXVIII atestacji posiada już znak jakości „Doceń polskie” - firmy te starały się o zdobycie wyróżnienia za kolejne produkty lub ponownie zgłosiły do oceny nagrodzone wcześniej wyroby.</w:t>
      </w:r>
    </w:p>
    <w:p w:rsidR="002761C2" w:rsidRDefault="00245E4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Powtarzalność ma w branży spożywczej ogromne znaczenie. Konsument oczekuje, że konkretny wyrób zawsze będzie smakował tak samo, bez względu na mijający czas. Niektóre ze zgłoszonych produktów ocenialiśmy po raz trzeci, a ich jakość nie uległa zmianie: to jednoznacznie świadczy o ich producencie</w:t>
      </w:r>
      <w:r>
        <w:rPr>
          <w:rFonts w:ascii="Times New Roman" w:hAnsi="Times New Roman" w:cs="Times New Roman"/>
          <w:sz w:val="24"/>
          <w:szCs w:val="24"/>
        </w:rPr>
        <w:t xml:space="preserve"> – zaznacza C.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Nierodkiewicz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1C2" w:rsidRDefault="00245E4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Po raz pierwszy w obradach Loży Ekspertów uczestniczył </w:t>
      </w:r>
      <w:r>
        <w:rPr>
          <w:rFonts w:ascii="Times New Roman" w:hAnsi="Times New Roman" w:cs="Times New Roman"/>
          <w:b/>
          <w:sz w:val="24"/>
          <w:szCs w:val="24"/>
        </w:rPr>
        <w:t>Bartłomiej Kornacki,</w:t>
      </w:r>
      <w:r>
        <w:rPr>
          <w:rFonts w:ascii="Times New Roman" w:hAnsi="Times New Roman" w:cs="Times New Roman"/>
          <w:sz w:val="24"/>
          <w:szCs w:val="24"/>
        </w:rPr>
        <w:t xml:space="preserve"> Szef Kuchni Restauracji Warszawskiej mieszczącej się w Hotelu Centrum Sosnowiec, gdzie miał miejsce audyt. - </w:t>
      </w:r>
      <w:r>
        <w:rPr>
          <w:rFonts w:ascii="Times New Roman" w:hAnsi="Times New Roman" w:cs="Times New Roman"/>
          <w:i/>
          <w:sz w:val="24"/>
          <w:szCs w:val="24"/>
        </w:rPr>
        <w:t xml:space="preserve">Jestem pod dużym wrażeniem produktów, które ocenialiśmy. Cieszę się, że miałem okazję poznać tak różnorodne propozycje firm z całej Polski. To był przekrój ciekawych i inspirujących wyrobów. Produkt ma w gastronomii kluczowe znaczenie. Goście oczekują wysokiej jakości, a naszym zadaniem jest przygotować propozycje, które ich zadowolą, ale też zaskoczą. Z tego względu tak ważne jest, by mieć wiedzę o możliwościach z oferty polskich producentów – </w:t>
      </w:r>
      <w:r>
        <w:rPr>
          <w:rFonts w:ascii="Times New Roman" w:hAnsi="Times New Roman" w:cs="Times New Roman"/>
          <w:sz w:val="24"/>
          <w:szCs w:val="24"/>
        </w:rPr>
        <w:t>zauważa B. Kornacki.</w:t>
      </w:r>
    </w:p>
    <w:p w:rsidR="002761C2" w:rsidRDefault="00245E4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Tak jak podczas dotychczasowych certyfikacji, wśród zgłoszonych do oceny produktów były zarówno tradycyjne, jak i bardziej nowoczesne wyroby podyktowane nowymi potrzebami konsumentów (takimi jak dieta wegańska). Ważne miejsce zajmowały także produkty związane z konkretnymi regionami naszego kraju.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Niektóre z ocenianych wyrobów przypomniały mi czasy dzieciństwa. Cieszę się, że producenci wracają do korzeni i nawiązują do stosowanych dawniej metod i procesów obróbki. W tym kontekście trzeba dodać, że również  polska gastronomia chętnie czerpie z tradycji oraz regionalnych specjałów i na różne sposoby korzysta z ich dobrodziejstw. Jestem przekonany, że to jest dobry kierunek. Jednocześnie, z uwagą śledzę nowinki i poczynania wytwórców, którzy bez kompleksów wkraczają w naszą branżę. Już teraz z propozycji rodzimego sektora spożywczego możemy być dumni, a jeśli audyt potraktujemy jak barometr trendów - o przyszłość też możemy byś spokojni</w:t>
      </w:r>
      <w:r>
        <w:rPr>
          <w:rFonts w:ascii="Times New Roman" w:hAnsi="Times New Roman" w:cs="Times New Roman"/>
          <w:sz w:val="24"/>
          <w:szCs w:val="24"/>
        </w:rPr>
        <w:t xml:space="preserve"> – podsumowuje M. Drewniak.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06CC" w:rsidRPr="007B71E1" w:rsidRDefault="00245E45" w:rsidP="003B06CC">
      <w:pPr>
        <w:spacing w:after="12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Kwietniowa atestacja była drugą w tym roku oceną żywności organizowaną w ramach programu „Doceń polskie”. Pierwsza miała miejsce w styczniu, natomiast kolejna odbędzie się </w:t>
      </w:r>
      <w:r w:rsidR="003B06C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lipc</w:t>
      </w:r>
      <w:r w:rsidR="003B06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6CC">
        <w:rPr>
          <w:rFonts w:ascii="Times New Roman" w:hAnsi="Times New Roman" w:cs="Times New Roman"/>
          <w:sz w:val="24"/>
          <w:szCs w:val="24"/>
        </w:rPr>
        <w:br/>
      </w:r>
      <w:r w:rsidR="003B06CC">
        <w:rPr>
          <w:rFonts w:ascii="Times New Roman" w:hAnsi="Times New Roman" w:cs="Times New Roman"/>
          <w:sz w:val="24"/>
          <w:szCs w:val="24"/>
        </w:rPr>
        <w:br/>
      </w:r>
      <w:r w:rsidR="003B06CC" w:rsidRPr="007B71E1">
        <w:rPr>
          <w:rStyle w:val="Uwydatnienie"/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3B06CC" w:rsidRPr="007B71E1" w:rsidRDefault="003B06CC" w:rsidP="003B06CC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71E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7B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www.docenpolskie.pl</w:t>
      </w:r>
      <w:r w:rsidRPr="007B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www.blog.docenpolskie.pl</w:t>
      </w:r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B71E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</w:r>
      <w:r w:rsidRPr="007B71E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Twórca programu „Doceń polskie” jest  także organizatorem projektu </w:t>
      </w:r>
      <w:proofErr w:type="spellStart"/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BlogerChef</w:t>
      </w:r>
      <w:proofErr w:type="spellEnd"/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(blogerchef.pl) – innowacyjnego przedsięwzięcia skierowanego do </w:t>
      </w:r>
      <w:proofErr w:type="spellStart"/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blogerów</w:t>
      </w:r>
      <w:proofErr w:type="spellEnd"/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kulinarnych. </w:t>
      </w:r>
      <w:r w:rsidRPr="007B71E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3B06CC" w:rsidRPr="007B71E1" w:rsidRDefault="003B06CC" w:rsidP="003B06CC">
      <w:pPr>
        <w:spacing w:line="360" w:lineRule="auto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1E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* * *</w:t>
      </w:r>
    </w:p>
    <w:p w:rsidR="003B06CC" w:rsidRPr="007B71E1" w:rsidRDefault="003B06CC" w:rsidP="003B0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KONTAKT:</w:t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" w:history="1">
        <w:r w:rsidRPr="007B71E1">
          <w:rPr>
            <w:rStyle w:val="Pogrubienie"/>
            <w:rFonts w:ascii="Times New Roman" w:eastAsia="Times New Roman" w:hAnsi="Times New Roman" w:cs="Times New Roman"/>
            <w:color w:val="000000"/>
            <w:sz w:val="24"/>
            <w:szCs w:val="24"/>
          </w:rPr>
          <w:t>www.docenpolskie.pl</w:t>
        </w:r>
      </w:hyperlink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Kontakt dla mediów:</w:t>
      </w:r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B06CC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Anna Koza</w:t>
      </w:r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6" w:history="1">
        <w:r w:rsidRPr="003B06C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anna.koza@adventure.media.pl</w:t>
        </w:r>
      </w:hyperlink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B06CC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Adventure Media s. c. Agencja Public Relations</w:t>
      </w:r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7" w:history="1">
        <w:r w:rsidRPr="003B06C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www.adventure.media.pl</w:t>
        </w:r>
      </w:hyperlink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1" w:name="__DdeLink__604_1316265031"/>
      <w:r w:rsidRPr="003B06CC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780 115 953</w:t>
      </w:r>
      <w:bookmarkEnd w:id="1"/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B06CC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32 724 28 84</w:t>
      </w:r>
      <w:r w:rsidRPr="003B0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B06CC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fax 32 417 01 70</w:t>
      </w:r>
      <w:r w:rsidRPr="00E04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3B06CC" w:rsidRPr="00092B9C" w:rsidRDefault="003B06CC" w:rsidP="003B06CC">
      <w:pPr>
        <w:spacing w:line="360" w:lineRule="auto"/>
      </w:pPr>
    </w:p>
    <w:p w:rsidR="003B06CC" w:rsidRPr="0016302C" w:rsidRDefault="003B06CC" w:rsidP="003B06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1C2" w:rsidRDefault="002761C2">
      <w:pPr>
        <w:spacing w:line="360" w:lineRule="auto"/>
      </w:pPr>
    </w:p>
    <w:sectPr w:rsidR="002761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2"/>
    <w:rsid w:val="000B5C90"/>
    <w:rsid w:val="00245E45"/>
    <w:rsid w:val="002761C2"/>
    <w:rsid w:val="002C344D"/>
    <w:rsid w:val="003B06CC"/>
    <w:rsid w:val="00CC23F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563"/>
  <w15:docId w15:val="{C985ADF7-0ED2-4A66-97C8-0F2BCD4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3F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3F04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C31137"/>
    <w:pP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3F04"/>
    <w:pPr>
      <w:spacing w:after="0" w:line="240" w:lineRule="auto"/>
    </w:pPr>
    <w:rPr>
      <w:sz w:val="20"/>
      <w:szCs w:val="20"/>
    </w:rPr>
  </w:style>
  <w:style w:type="character" w:styleId="Pogrubienie">
    <w:name w:val="Strong"/>
    <w:qFormat/>
    <w:rsid w:val="003B06CC"/>
    <w:rPr>
      <w:b/>
      <w:bCs/>
    </w:rPr>
  </w:style>
  <w:style w:type="character" w:styleId="Hipercze">
    <w:name w:val="Hyperlink"/>
    <w:rsid w:val="003B06CC"/>
    <w:rPr>
      <w:color w:val="0563C1"/>
      <w:u w:val="single"/>
      <w:lang/>
    </w:rPr>
  </w:style>
  <w:style w:type="character" w:styleId="Uwydatnienie">
    <w:name w:val="Emphasis"/>
    <w:qFormat/>
    <w:rsid w:val="003B0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.medi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docenpolski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dc:description/>
  <cp:lastModifiedBy>anna koza</cp:lastModifiedBy>
  <cp:revision>2</cp:revision>
  <dcterms:created xsi:type="dcterms:W3CDTF">2018-04-27T12:28:00Z</dcterms:created>
  <dcterms:modified xsi:type="dcterms:W3CDTF">2018-04-27T12:28:00Z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